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3E2" w:rsidRDefault="005123E2" w:rsidP="005123E2">
      <w:pPr>
        <w:rPr>
          <w:b/>
          <w:bCs/>
          <w:sz w:val="36"/>
          <w:szCs w:val="36"/>
        </w:rPr>
      </w:pPr>
      <w:r>
        <w:rPr>
          <w:b/>
          <w:bCs/>
          <w:sz w:val="36"/>
          <w:szCs w:val="36"/>
        </w:rPr>
        <w:t xml:space="preserve">Assignment 1.2: Applying the PDCA Cycle </w:t>
      </w:r>
    </w:p>
    <w:p w:rsidR="005123E2" w:rsidRDefault="005123E2" w:rsidP="005123E2">
      <w:pPr>
        <w:rPr>
          <w:b/>
          <w:bCs/>
          <w:sz w:val="36"/>
          <w:szCs w:val="36"/>
        </w:rPr>
      </w:pPr>
      <w:r>
        <w:rPr>
          <w:b/>
          <w:bCs/>
          <w:sz w:val="36"/>
          <w:szCs w:val="36"/>
        </w:rPr>
        <w:t>for Continuous Improvement</w:t>
      </w:r>
    </w:p>
    <w:p w:rsidR="005123E2" w:rsidRDefault="005123E2" w:rsidP="005123E2">
      <w:pPr>
        <w:rPr>
          <w:b/>
          <w:bCs/>
          <w:sz w:val="36"/>
          <w:szCs w:val="36"/>
        </w:rPr>
      </w:pPr>
    </w:p>
    <w:p w:rsidR="005123E2" w:rsidRDefault="005123E2" w:rsidP="005123E2">
      <w:pPr>
        <w:spacing w:line="240" w:lineRule="auto"/>
        <w:rPr>
          <w:sz w:val="24"/>
          <w:szCs w:val="24"/>
        </w:rPr>
      </w:pPr>
      <w:r>
        <w:rPr>
          <w:sz w:val="24"/>
          <w:szCs w:val="24"/>
        </w:rPr>
        <w:t>Referencing the NC DPI resource, “</w:t>
      </w:r>
      <w:hyperlink r:id="rId5" w:history="1">
        <w:r>
          <w:rPr>
            <w:color w:val="000099"/>
            <w:sz w:val="24"/>
            <w:szCs w:val="24"/>
            <w:u w:val="single"/>
          </w:rPr>
          <w:t>NC</w:t>
        </w:r>
      </w:hyperlink>
      <w:hyperlink r:id="rId6" w:history="1">
        <w:r>
          <w:rPr>
            <w:color w:val="000099"/>
            <w:sz w:val="24"/>
            <w:szCs w:val="24"/>
            <w:u w:val="single"/>
          </w:rPr>
          <w:t xml:space="preserve"> </w:t>
        </w:r>
      </w:hyperlink>
      <w:hyperlink r:id="rId7" w:history="1">
        <w:r>
          <w:rPr>
            <w:color w:val="000099"/>
            <w:sz w:val="24"/>
            <w:szCs w:val="24"/>
            <w:u w:val="single"/>
          </w:rPr>
          <w:t>School</w:t>
        </w:r>
      </w:hyperlink>
      <w:hyperlink r:id="rId8" w:history="1">
        <w:r>
          <w:rPr>
            <w:color w:val="000099"/>
            <w:sz w:val="24"/>
            <w:szCs w:val="24"/>
            <w:u w:val="single"/>
          </w:rPr>
          <w:t xml:space="preserve"> </w:t>
        </w:r>
      </w:hyperlink>
      <w:hyperlink r:id="rId9" w:history="1">
        <w:r>
          <w:rPr>
            <w:color w:val="000099"/>
            <w:sz w:val="24"/>
            <w:szCs w:val="24"/>
            <w:u w:val="single"/>
          </w:rPr>
          <w:t>Improvement</w:t>
        </w:r>
      </w:hyperlink>
      <w:hyperlink r:id="rId10" w:history="1">
        <w:r>
          <w:rPr>
            <w:color w:val="000099"/>
            <w:sz w:val="24"/>
            <w:szCs w:val="24"/>
            <w:u w:val="single"/>
          </w:rPr>
          <w:t xml:space="preserve"> </w:t>
        </w:r>
      </w:hyperlink>
      <w:hyperlink r:id="rId11" w:history="1">
        <w:r>
          <w:rPr>
            <w:color w:val="000099"/>
            <w:sz w:val="24"/>
            <w:szCs w:val="24"/>
            <w:u w:val="single"/>
          </w:rPr>
          <w:t>Planning</w:t>
        </w:r>
      </w:hyperlink>
      <w:hyperlink r:id="rId12" w:history="1">
        <w:r>
          <w:rPr>
            <w:color w:val="000099"/>
            <w:sz w:val="24"/>
            <w:szCs w:val="24"/>
            <w:u w:val="single"/>
          </w:rPr>
          <w:t xml:space="preserve"> </w:t>
        </w:r>
      </w:hyperlink>
      <w:hyperlink r:id="rId13" w:history="1">
        <w:r>
          <w:rPr>
            <w:color w:val="000099"/>
            <w:sz w:val="24"/>
            <w:szCs w:val="24"/>
            <w:u w:val="single"/>
          </w:rPr>
          <w:t>Implementation</w:t>
        </w:r>
      </w:hyperlink>
      <w:hyperlink r:id="rId14" w:history="1">
        <w:r>
          <w:rPr>
            <w:color w:val="000099"/>
            <w:sz w:val="24"/>
            <w:szCs w:val="24"/>
            <w:u w:val="single"/>
          </w:rPr>
          <w:t xml:space="preserve"> </w:t>
        </w:r>
      </w:hyperlink>
      <w:hyperlink r:id="rId15" w:history="1">
        <w:r>
          <w:rPr>
            <w:color w:val="000099"/>
            <w:sz w:val="24"/>
            <w:szCs w:val="24"/>
            <w:u w:val="single"/>
          </w:rPr>
          <w:t>Guide</w:t>
        </w:r>
      </w:hyperlink>
      <w:hyperlink r:id="rId16" w:history="1">
        <w:r>
          <w:rPr>
            <w:color w:val="000099"/>
            <w:sz w:val="24"/>
            <w:szCs w:val="24"/>
            <w:u w:val="single"/>
          </w:rPr>
          <w:t>” (</w:t>
        </w:r>
      </w:hyperlink>
      <w:hyperlink r:id="rId17" w:history="1">
        <w:r>
          <w:rPr>
            <w:color w:val="000099"/>
            <w:sz w:val="24"/>
            <w:szCs w:val="24"/>
            <w:u w:val="single"/>
          </w:rPr>
          <w:t>Section</w:t>
        </w:r>
      </w:hyperlink>
      <w:hyperlink r:id="rId18" w:history="1">
        <w:r>
          <w:rPr>
            <w:color w:val="000099"/>
            <w:sz w:val="24"/>
            <w:szCs w:val="24"/>
            <w:u w:val="single"/>
          </w:rPr>
          <w:t xml:space="preserve"> </w:t>
        </w:r>
      </w:hyperlink>
      <w:hyperlink r:id="rId19" w:history="1">
        <w:r>
          <w:rPr>
            <w:color w:val="000099"/>
            <w:sz w:val="24"/>
            <w:szCs w:val="24"/>
            <w:u w:val="single"/>
          </w:rPr>
          <w:t>Four</w:t>
        </w:r>
      </w:hyperlink>
      <w:hyperlink r:id="rId20" w:history="1">
        <w:r>
          <w:rPr>
            <w:color w:val="000099"/>
            <w:sz w:val="24"/>
            <w:szCs w:val="24"/>
            <w:u w:val="single"/>
          </w:rPr>
          <w:t xml:space="preserve"> </w:t>
        </w:r>
      </w:hyperlink>
      <w:hyperlink r:id="rId21" w:history="1">
        <w:r>
          <w:rPr>
            <w:color w:val="000099"/>
            <w:sz w:val="24"/>
            <w:szCs w:val="24"/>
            <w:u w:val="single"/>
          </w:rPr>
          <w:t>pages</w:t>
        </w:r>
      </w:hyperlink>
      <w:hyperlink r:id="rId22" w:history="1">
        <w:r>
          <w:rPr>
            <w:color w:val="000099"/>
            <w:sz w:val="24"/>
            <w:szCs w:val="24"/>
            <w:u w:val="single"/>
          </w:rPr>
          <w:t xml:space="preserve"> 19-24),</w:t>
        </w:r>
      </w:hyperlink>
      <w:r>
        <w:rPr>
          <w:sz w:val="24"/>
          <w:szCs w:val="24"/>
        </w:rPr>
        <w:t xml:space="preserve"> select your choice of one of the following data points:</w:t>
      </w:r>
    </w:p>
    <w:p w:rsidR="005123E2" w:rsidRDefault="005123E2" w:rsidP="005123E2">
      <w:pPr>
        <w:numPr>
          <w:ilvl w:val="0"/>
          <w:numId w:val="1"/>
        </w:numPr>
        <w:tabs>
          <w:tab w:val="num" w:pos="720"/>
        </w:tabs>
        <w:spacing w:line="240" w:lineRule="auto"/>
        <w:rPr>
          <w:sz w:val="24"/>
          <w:szCs w:val="24"/>
        </w:rPr>
      </w:pPr>
      <w:r>
        <w:rPr>
          <w:sz w:val="24"/>
          <w:szCs w:val="24"/>
        </w:rPr>
        <w:t xml:space="preserve">data from your school’s profile from public data (NELA assignment due on 8/23/2011), or </w:t>
      </w:r>
    </w:p>
    <w:p w:rsidR="005123E2" w:rsidRDefault="005123E2" w:rsidP="005123E2">
      <w:pPr>
        <w:numPr>
          <w:ilvl w:val="0"/>
          <w:numId w:val="1"/>
        </w:numPr>
        <w:tabs>
          <w:tab w:val="num" w:pos="720"/>
        </w:tabs>
        <w:spacing w:line="240" w:lineRule="auto"/>
        <w:rPr>
          <w:sz w:val="24"/>
          <w:szCs w:val="24"/>
        </w:rPr>
      </w:pPr>
      <w:r>
        <w:rPr>
          <w:sz w:val="24"/>
          <w:szCs w:val="24"/>
        </w:rPr>
        <w:t>your school’s three-year trend data on student attendance as reported by the NC DPI (NCPAPA facilitators will provide this information to you)</w:t>
      </w:r>
    </w:p>
    <w:p w:rsidR="005123E2" w:rsidRDefault="005123E2" w:rsidP="005123E2">
      <w:pPr>
        <w:spacing w:line="240" w:lineRule="auto"/>
        <w:rPr>
          <w:sz w:val="24"/>
          <w:szCs w:val="24"/>
        </w:rPr>
      </w:pPr>
    </w:p>
    <w:p w:rsidR="005123E2" w:rsidRDefault="005123E2" w:rsidP="005123E2">
      <w:pPr>
        <w:rPr>
          <w:sz w:val="24"/>
          <w:szCs w:val="24"/>
        </w:rPr>
      </w:pPr>
      <w:r>
        <w:rPr>
          <w:sz w:val="24"/>
          <w:szCs w:val="24"/>
        </w:rPr>
        <w:t xml:space="preserve">Based on your data choice, apply the PDCA Cycle to this data and provide a written summary (narrative, bullets, and/or charts/graphics) to describe your findings in each of the four phases of the PDCA cycle. </w:t>
      </w:r>
    </w:p>
    <w:p w:rsidR="005123E2" w:rsidRDefault="005123E2" w:rsidP="005123E2">
      <w:pPr>
        <w:rPr>
          <w:b/>
          <w:bCs/>
          <w:sz w:val="24"/>
          <w:szCs w:val="24"/>
        </w:rPr>
      </w:pPr>
    </w:p>
    <w:tbl>
      <w:tblPr>
        <w:tblW w:w="0" w:type="auto"/>
        <w:tblInd w:w="100" w:type="dxa"/>
        <w:tblLook w:val="0000"/>
      </w:tblPr>
      <w:tblGrid>
        <w:gridCol w:w="9360"/>
      </w:tblGrid>
      <w:tr w:rsidR="005123E2">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123E2" w:rsidRDefault="005123E2">
            <w:pPr>
              <w:spacing w:line="240" w:lineRule="auto"/>
            </w:pPr>
            <w:r>
              <w:rPr>
                <w:b/>
                <w:bCs/>
                <w:sz w:val="24"/>
                <w:szCs w:val="24"/>
              </w:rPr>
              <w:t xml:space="preserve">Data: </w:t>
            </w:r>
          </w:p>
          <w:p w:rsidR="005123E2" w:rsidRDefault="005123E2">
            <w:pPr>
              <w:spacing w:line="240" w:lineRule="auto"/>
              <w:rPr>
                <w:sz w:val="24"/>
                <w:szCs w:val="24"/>
              </w:rPr>
            </w:pPr>
            <w:r>
              <w:rPr>
                <w:sz w:val="24"/>
                <w:szCs w:val="24"/>
              </w:rPr>
              <w:t>Below are excerpts from the 2009-2010 Hollister Elementary School Report Card</w:t>
            </w:r>
          </w:p>
          <w:p w:rsidR="005123E2" w:rsidRDefault="005123E2">
            <w:pPr>
              <w:spacing w:line="240" w:lineRule="auto"/>
              <w:rPr>
                <w:sz w:val="24"/>
                <w:szCs w:val="24"/>
              </w:rPr>
            </w:pPr>
            <w:r>
              <w:rPr>
                <w:noProof/>
                <w:sz w:val="24"/>
                <w:szCs w:val="24"/>
              </w:rPr>
              <w:drawing>
                <wp:inline distT="0" distB="0" distL="0" distR="0">
                  <wp:extent cx="5274945" cy="2167255"/>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srcRect/>
                          <a:stretch>
                            <a:fillRect/>
                          </a:stretch>
                        </pic:blipFill>
                        <pic:spPr bwMode="auto">
                          <a:xfrm>
                            <a:off x="0" y="0"/>
                            <a:ext cx="5274945" cy="2167255"/>
                          </a:xfrm>
                          <a:prstGeom prst="rect">
                            <a:avLst/>
                          </a:prstGeom>
                          <a:noFill/>
                          <a:ln w="9525">
                            <a:noFill/>
                            <a:miter lim="800000"/>
                            <a:headEnd/>
                            <a:tailEnd/>
                          </a:ln>
                        </pic:spPr>
                      </pic:pic>
                    </a:graphicData>
                  </a:graphic>
                </wp:inline>
              </w:drawing>
            </w:r>
          </w:p>
          <w:p w:rsidR="005123E2" w:rsidRDefault="005123E2">
            <w:pPr>
              <w:rPr>
                <w:b/>
                <w:bCs/>
                <w:sz w:val="24"/>
                <w:szCs w:val="24"/>
              </w:rPr>
            </w:pPr>
            <w:r>
              <w:rPr>
                <w:b/>
                <w:bCs/>
                <w:noProof/>
                <w:sz w:val="24"/>
                <w:szCs w:val="24"/>
              </w:rPr>
              <w:drawing>
                <wp:inline distT="0" distB="0" distL="0" distR="0">
                  <wp:extent cx="5215255" cy="2684145"/>
                  <wp:effectExtent l="2540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srcRect/>
                          <a:stretch>
                            <a:fillRect/>
                          </a:stretch>
                        </pic:blipFill>
                        <pic:spPr bwMode="auto">
                          <a:xfrm>
                            <a:off x="0" y="0"/>
                            <a:ext cx="5215255" cy="2684145"/>
                          </a:xfrm>
                          <a:prstGeom prst="rect">
                            <a:avLst/>
                          </a:prstGeom>
                          <a:noFill/>
                          <a:ln w="9525">
                            <a:noFill/>
                            <a:miter lim="800000"/>
                            <a:headEnd/>
                            <a:tailEnd/>
                          </a:ln>
                        </pic:spPr>
                      </pic:pic>
                    </a:graphicData>
                  </a:graphic>
                </wp:inline>
              </w:drawing>
            </w:r>
          </w:p>
          <w:p w:rsidR="005123E2" w:rsidRPr="00DC1110" w:rsidRDefault="005123E2">
            <w:pPr>
              <w:rPr>
                <w:b/>
                <w:bCs/>
                <w:sz w:val="24"/>
                <w:szCs w:val="24"/>
              </w:rPr>
            </w:pPr>
            <w:r>
              <w:rPr>
                <w:b/>
                <w:bCs/>
                <w:noProof/>
                <w:sz w:val="24"/>
                <w:szCs w:val="24"/>
              </w:rPr>
              <w:drawing>
                <wp:inline distT="0" distB="0" distL="0" distR="0">
                  <wp:extent cx="5139055" cy="1811655"/>
                  <wp:effectExtent l="2540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srcRect/>
                          <a:stretch>
                            <a:fillRect/>
                          </a:stretch>
                        </pic:blipFill>
                        <pic:spPr bwMode="auto">
                          <a:xfrm>
                            <a:off x="0" y="0"/>
                            <a:ext cx="5139055" cy="1811655"/>
                          </a:xfrm>
                          <a:prstGeom prst="rect">
                            <a:avLst/>
                          </a:prstGeom>
                          <a:noFill/>
                          <a:ln w="9525">
                            <a:noFill/>
                            <a:miter lim="800000"/>
                            <a:headEnd/>
                            <a:tailEnd/>
                          </a:ln>
                        </pic:spPr>
                      </pic:pic>
                    </a:graphicData>
                  </a:graphic>
                </wp:inline>
              </w:drawing>
            </w:r>
          </w:p>
          <w:p w:rsidR="005123E2" w:rsidRDefault="005123E2">
            <w:pPr>
              <w:spacing w:line="240" w:lineRule="auto"/>
              <w:rPr>
                <w:sz w:val="24"/>
                <w:szCs w:val="24"/>
              </w:rPr>
            </w:pPr>
          </w:p>
          <w:p w:rsidR="005123E2" w:rsidRDefault="005123E2">
            <w:pPr>
              <w:spacing w:line="240" w:lineRule="auto"/>
              <w:rPr>
                <w:sz w:val="24"/>
                <w:szCs w:val="24"/>
              </w:rPr>
            </w:pPr>
          </w:p>
          <w:p w:rsidR="005123E2" w:rsidRDefault="005123E2">
            <w:pPr>
              <w:spacing w:line="240" w:lineRule="auto"/>
              <w:rPr>
                <w:b/>
                <w:bCs/>
                <w:sz w:val="24"/>
                <w:szCs w:val="24"/>
              </w:rPr>
            </w:pPr>
            <w:r>
              <w:rPr>
                <w:b/>
                <w:bCs/>
                <w:sz w:val="24"/>
                <w:szCs w:val="24"/>
              </w:rPr>
              <w:t xml:space="preserve">The “Plan” Phase: </w:t>
            </w:r>
          </w:p>
          <w:p w:rsidR="005123E2" w:rsidRDefault="005123E2">
            <w:pPr>
              <w:spacing w:line="240" w:lineRule="auto"/>
              <w:rPr>
                <w:sz w:val="24"/>
                <w:szCs w:val="24"/>
              </w:rPr>
            </w:pPr>
            <w:r>
              <w:rPr>
                <w:sz w:val="24"/>
                <w:szCs w:val="24"/>
              </w:rPr>
              <w:t>Hollister Elementary data indicates that both reading and math are in need of improvement. The performance on Math tests has taken a steady climb since 2007-08 whereas the performance on Reading tests climbed significantly from 07-08 then dipped in 09-10.  Math is a relative strength for the school.  Students with disabilities performed the poorest.</w:t>
            </w:r>
          </w:p>
          <w:p w:rsidR="005123E2" w:rsidRDefault="005123E2">
            <w:pPr>
              <w:spacing w:line="240" w:lineRule="auto"/>
              <w:rPr>
                <w:sz w:val="24"/>
                <w:szCs w:val="24"/>
              </w:rPr>
            </w:pPr>
            <w:r>
              <w:rPr>
                <w:sz w:val="24"/>
                <w:szCs w:val="24"/>
              </w:rPr>
              <w:t xml:space="preserve">Goal: Increase student reading proficiency (indicator) by 10% as measured by the EOG assessment. </w:t>
            </w:r>
          </w:p>
          <w:p w:rsidR="005123E2" w:rsidRDefault="005123E2">
            <w:pPr>
              <w:spacing w:line="240" w:lineRule="auto"/>
              <w:rPr>
                <w:b/>
                <w:bCs/>
                <w:sz w:val="24"/>
                <w:szCs w:val="24"/>
              </w:rPr>
            </w:pPr>
          </w:p>
          <w:p w:rsidR="005123E2" w:rsidRDefault="005123E2">
            <w:pPr>
              <w:spacing w:line="240" w:lineRule="auto"/>
              <w:rPr>
                <w:b/>
                <w:bCs/>
                <w:sz w:val="24"/>
                <w:szCs w:val="24"/>
              </w:rPr>
            </w:pPr>
            <w:r>
              <w:rPr>
                <w:b/>
                <w:bCs/>
                <w:sz w:val="24"/>
                <w:szCs w:val="24"/>
              </w:rPr>
              <w:t xml:space="preserve">The “Do” Phase: </w:t>
            </w:r>
          </w:p>
          <w:p w:rsidR="005123E2" w:rsidRDefault="005123E2" w:rsidP="008A1080">
            <w:pPr>
              <w:spacing w:line="240" w:lineRule="auto"/>
              <w:rPr>
                <w:sz w:val="24"/>
                <w:szCs w:val="24"/>
              </w:rPr>
            </w:pPr>
            <w:r>
              <w:rPr>
                <w:sz w:val="24"/>
                <w:szCs w:val="24"/>
              </w:rPr>
              <w:t xml:space="preserve">     Halifax County Schools invested time at the beginning of the school year on staff professional development (Reading Foundations).  Hollister Elementary has one full time literacy coach assigned to 3</w:t>
            </w:r>
            <w:r w:rsidRPr="00EB09E1">
              <w:rPr>
                <w:sz w:val="24"/>
                <w:szCs w:val="24"/>
                <w:vertAlign w:val="superscript"/>
              </w:rPr>
              <w:t>rd</w:t>
            </w:r>
            <w:r>
              <w:rPr>
                <w:sz w:val="24"/>
                <w:szCs w:val="24"/>
              </w:rPr>
              <w:t xml:space="preserve"> grade.  A literacy coach for the other grades is shared with Pittman Elementary.  Student’s progress is monitored through Reading 3D.  The school schedule has each grade teaching literacy in a 90 minute uninterrupted reading block.</w:t>
            </w:r>
          </w:p>
          <w:p w:rsidR="005123E2" w:rsidRDefault="005123E2" w:rsidP="008A1080">
            <w:pPr>
              <w:spacing w:line="240" w:lineRule="auto"/>
              <w:rPr>
                <w:b/>
                <w:bCs/>
                <w:sz w:val="24"/>
                <w:szCs w:val="24"/>
              </w:rPr>
            </w:pPr>
          </w:p>
          <w:p w:rsidR="00B04B1F" w:rsidRDefault="00B04B1F">
            <w:pPr>
              <w:spacing w:line="240" w:lineRule="auto"/>
              <w:rPr>
                <w:b/>
                <w:bCs/>
                <w:sz w:val="24"/>
                <w:szCs w:val="24"/>
              </w:rPr>
            </w:pPr>
          </w:p>
          <w:p w:rsidR="005123E2" w:rsidRDefault="005123E2">
            <w:pPr>
              <w:spacing w:line="240" w:lineRule="auto"/>
              <w:rPr>
                <w:b/>
                <w:bCs/>
                <w:sz w:val="24"/>
                <w:szCs w:val="24"/>
              </w:rPr>
            </w:pPr>
            <w:r>
              <w:rPr>
                <w:b/>
                <w:bCs/>
                <w:sz w:val="24"/>
                <w:szCs w:val="24"/>
              </w:rPr>
              <w:t>The “Check” Phase:</w:t>
            </w:r>
          </w:p>
          <w:p w:rsidR="005123E2" w:rsidRDefault="005123E2">
            <w:pPr>
              <w:spacing w:line="240" w:lineRule="auto"/>
              <w:rPr>
                <w:b/>
                <w:bCs/>
                <w:sz w:val="24"/>
                <w:szCs w:val="24"/>
              </w:rPr>
            </w:pPr>
            <w:r>
              <w:rPr>
                <w:b/>
                <w:bCs/>
                <w:sz w:val="24"/>
                <w:szCs w:val="24"/>
              </w:rPr>
              <w:t xml:space="preserve">     </w:t>
            </w:r>
            <w:r>
              <w:rPr>
                <w:sz w:val="24"/>
                <w:szCs w:val="24"/>
              </w:rPr>
              <w:t xml:space="preserve">Periodically, the Reading 3D data will be analyzed to ensure that students and teachers are making progress. At the end of each quarter, when teachers administer the benchmarks, the teachers will meet in a PLC to discuss possible interventions. </w:t>
            </w:r>
          </w:p>
          <w:p w:rsidR="005123E2" w:rsidRDefault="005123E2">
            <w:pPr>
              <w:spacing w:line="240" w:lineRule="auto"/>
              <w:rPr>
                <w:b/>
                <w:bCs/>
                <w:sz w:val="24"/>
                <w:szCs w:val="24"/>
              </w:rPr>
            </w:pPr>
          </w:p>
          <w:p w:rsidR="005123E2" w:rsidRDefault="005123E2">
            <w:pPr>
              <w:spacing w:line="240" w:lineRule="auto"/>
              <w:rPr>
                <w:b/>
                <w:bCs/>
                <w:sz w:val="24"/>
                <w:szCs w:val="24"/>
              </w:rPr>
            </w:pPr>
            <w:r>
              <w:rPr>
                <w:b/>
                <w:bCs/>
                <w:sz w:val="24"/>
                <w:szCs w:val="24"/>
              </w:rPr>
              <w:t xml:space="preserve">The “Act” Phase: </w:t>
            </w:r>
          </w:p>
          <w:p w:rsidR="005123E2" w:rsidRDefault="005123E2">
            <w:pPr>
              <w:spacing w:line="240" w:lineRule="auto"/>
              <w:rPr>
                <w:sz w:val="24"/>
                <w:szCs w:val="24"/>
              </w:rPr>
            </w:pPr>
            <w:r>
              <w:rPr>
                <w:sz w:val="24"/>
                <w:szCs w:val="24"/>
              </w:rPr>
              <w:t xml:space="preserve">     We will continue to use PLC’s to look at the data on a </w:t>
            </w:r>
            <w:r w:rsidR="00B04B1F">
              <w:rPr>
                <w:sz w:val="24"/>
                <w:szCs w:val="24"/>
              </w:rPr>
              <w:t>regular</w:t>
            </w:r>
            <w:r>
              <w:rPr>
                <w:sz w:val="24"/>
                <w:szCs w:val="24"/>
              </w:rPr>
              <w:t xml:space="preserve"> basis to ensure students continue to make progress and if not, to make a change in what we are doing.</w:t>
            </w:r>
          </w:p>
          <w:p w:rsidR="005123E2" w:rsidRDefault="005123E2">
            <w:pPr>
              <w:spacing w:line="240" w:lineRule="auto"/>
              <w:rPr>
                <w:b/>
                <w:bCs/>
                <w:sz w:val="24"/>
                <w:szCs w:val="24"/>
              </w:rPr>
            </w:pPr>
          </w:p>
          <w:p w:rsidR="005123E2" w:rsidRDefault="005123E2">
            <w:pPr>
              <w:spacing w:line="240" w:lineRule="auto"/>
              <w:rPr>
                <w:b/>
                <w:bCs/>
                <w:sz w:val="24"/>
                <w:szCs w:val="24"/>
              </w:rPr>
            </w:pPr>
          </w:p>
          <w:p w:rsidR="005123E2" w:rsidRDefault="005123E2">
            <w:pPr>
              <w:spacing w:line="240" w:lineRule="auto"/>
              <w:rPr>
                <w:b/>
                <w:bCs/>
                <w:sz w:val="24"/>
                <w:szCs w:val="24"/>
              </w:rPr>
            </w:pPr>
          </w:p>
        </w:tc>
      </w:tr>
    </w:tbl>
    <w:p w:rsidR="005123E2" w:rsidRDefault="005123E2" w:rsidP="005123E2">
      <w:pPr>
        <w:pBdr>
          <w:bottom w:val="single" w:sz="12" w:space="0" w:color="808080"/>
        </w:pBdr>
        <w:spacing w:line="240" w:lineRule="auto"/>
      </w:pPr>
    </w:p>
    <w:p w:rsidR="005123E2" w:rsidRDefault="005123E2" w:rsidP="005123E2">
      <w:pPr>
        <w:spacing w:line="240" w:lineRule="auto"/>
        <w:rPr>
          <w:sz w:val="24"/>
          <w:szCs w:val="24"/>
        </w:rPr>
      </w:pPr>
    </w:p>
    <w:p w:rsidR="005123E2" w:rsidRDefault="005123E2" w:rsidP="005123E2">
      <w:pPr>
        <w:spacing w:line="240" w:lineRule="auto"/>
        <w:rPr>
          <w:sz w:val="24"/>
          <w:szCs w:val="24"/>
        </w:rPr>
      </w:pPr>
    </w:p>
    <w:p w:rsidR="005123E2" w:rsidRDefault="005123E2" w:rsidP="005123E2">
      <w:pPr>
        <w:spacing w:line="240" w:lineRule="auto"/>
        <w:rPr>
          <w:b/>
          <w:bCs/>
          <w:sz w:val="36"/>
          <w:szCs w:val="36"/>
        </w:rPr>
      </w:pPr>
    </w:p>
    <w:p w:rsidR="005123E2" w:rsidRDefault="005123E2" w:rsidP="005123E2">
      <w:pPr>
        <w:spacing w:line="240" w:lineRule="auto"/>
        <w:rPr>
          <w:b/>
          <w:bCs/>
          <w:sz w:val="24"/>
          <w:szCs w:val="24"/>
        </w:rPr>
      </w:pPr>
    </w:p>
    <w:p w:rsidR="00205CE2" w:rsidRDefault="00B04B1F"/>
    <w:sectPr w:rsidR="00205CE2" w:rsidSect="00DE125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hybridMultilevel"/>
    <w:tmpl w:val="00000005"/>
    <w:lvl w:ilvl="0" w:tplc="FFFFFFFF">
      <w:start w:val="1"/>
      <w:numFmt w:val="decimal"/>
      <w:lvlText w:val="%1."/>
      <w:lvlJc w:val="left"/>
      <w:pPr>
        <w:tabs>
          <w:tab w:val="num" w:pos="360"/>
        </w:tabs>
        <w:ind w:left="720" w:hanging="360"/>
      </w:pPr>
      <w:rPr>
        <w:rFonts w:ascii="Arial" w:eastAsia="Arial" w:hAnsi="Arial" w:cs="Arial"/>
        <w:b w:val="0"/>
        <w:bCs w:val="0"/>
        <w:i w:val="0"/>
        <w:iCs w:val="0"/>
        <w:strike w:val="0"/>
        <w:color w:val="000000"/>
        <w:sz w:val="24"/>
        <w:szCs w:val="24"/>
        <w:u w:val="none"/>
      </w:rPr>
    </w:lvl>
    <w:lvl w:ilvl="1" w:tplc="FFFFFFFF">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4"/>
        <w:szCs w:val="24"/>
        <w:u w:val="none"/>
      </w:rPr>
    </w:lvl>
    <w:lvl w:ilvl="2" w:tplc="FFFFFFFF">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4"/>
        <w:szCs w:val="24"/>
        <w:u w:val="none"/>
      </w:rPr>
    </w:lvl>
    <w:lvl w:ilvl="3" w:tplc="FFFFFFFF">
      <w:start w:val="1"/>
      <w:numFmt w:val="decimal"/>
      <w:lvlText w:val="%4."/>
      <w:lvlJc w:val="left"/>
      <w:pPr>
        <w:tabs>
          <w:tab w:val="num" w:pos="2520"/>
        </w:tabs>
        <w:ind w:left="2880" w:hanging="360"/>
      </w:pPr>
      <w:rPr>
        <w:rFonts w:ascii="Arial" w:eastAsia="Arial" w:hAnsi="Arial" w:cs="Arial"/>
        <w:b w:val="0"/>
        <w:bCs w:val="0"/>
        <w:i w:val="0"/>
        <w:iCs w:val="0"/>
        <w:strike w:val="0"/>
        <w:color w:val="000000"/>
        <w:sz w:val="24"/>
        <w:szCs w:val="24"/>
        <w:u w:val="none"/>
      </w:rPr>
    </w:lvl>
    <w:lvl w:ilvl="4" w:tplc="FFFFFFFF">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4"/>
        <w:szCs w:val="24"/>
        <w:u w:val="none"/>
      </w:rPr>
    </w:lvl>
    <w:lvl w:ilvl="5" w:tplc="FFFFFFFF">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4"/>
        <w:szCs w:val="24"/>
        <w:u w:val="none"/>
      </w:rPr>
    </w:lvl>
    <w:lvl w:ilvl="6" w:tplc="FFFFFFFF">
      <w:start w:val="1"/>
      <w:numFmt w:val="decimal"/>
      <w:lvlText w:val="%7."/>
      <w:lvlJc w:val="left"/>
      <w:pPr>
        <w:tabs>
          <w:tab w:val="num" w:pos="4680"/>
        </w:tabs>
        <w:ind w:left="5040" w:hanging="360"/>
      </w:pPr>
      <w:rPr>
        <w:rFonts w:ascii="Arial" w:eastAsia="Arial" w:hAnsi="Arial" w:cs="Arial"/>
        <w:b w:val="0"/>
        <w:bCs w:val="0"/>
        <w:i w:val="0"/>
        <w:iCs w:val="0"/>
        <w:strike w:val="0"/>
        <w:color w:val="000000"/>
        <w:sz w:val="24"/>
        <w:szCs w:val="24"/>
        <w:u w:val="none"/>
      </w:rPr>
    </w:lvl>
    <w:lvl w:ilvl="7" w:tplc="FFFFFFFF">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4"/>
        <w:szCs w:val="24"/>
        <w:u w:val="none"/>
      </w:rPr>
    </w:lvl>
    <w:lvl w:ilvl="8" w:tplc="FFFFFFFF">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4"/>
        <w:szCs w:val="24"/>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123E2"/>
    <w:rsid w:val="005123E2"/>
    <w:rsid w:val="00B04B1F"/>
    <w:rsid w:val="00DE125E"/>
  </w:rsids>
  <m:mathPr>
    <m:mathFont m:va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3E2"/>
    <w:pPr>
      <w:spacing w:line="276" w:lineRule="auto"/>
    </w:pPr>
    <w:rPr>
      <w:rFonts w:ascii="Arial" w:eastAsia="Arial" w:hAnsi="Arial" w:cs="Arial"/>
      <w:color w:val="000000"/>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dpi.state.nc.us/docs/councils/lea/previous/templates/sip-guide.pdf" TargetMode="External"/><Relationship Id="rId20" Type="http://schemas.openxmlformats.org/officeDocument/2006/relationships/hyperlink" Target="http://www.dpi.state.nc.us/docs/councils/lea/previous/templates/sip-guide.pdf" TargetMode="External"/><Relationship Id="rId21" Type="http://schemas.openxmlformats.org/officeDocument/2006/relationships/hyperlink" Target="http://www.dpi.state.nc.us/docs/councils/lea/previous/templates/sip-guide.pdf" TargetMode="External"/><Relationship Id="rId22" Type="http://schemas.openxmlformats.org/officeDocument/2006/relationships/hyperlink" Target="http://www.dpi.state.nc.us/docs/councils/lea/previous/templates/sip-guide.pdf" TargetMode="External"/><Relationship Id="rId23" Type="http://schemas.openxmlformats.org/officeDocument/2006/relationships/image" Target="media/image1.png"/><Relationship Id="rId24" Type="http://schemas.openxmlformats.org/officeDocument/2006/relationships/image" Target="media/image2.png"/><Relationship Id="rId25" Type="http://schemas.openxmlformats.org/officeDocument/2006/relationships/image" Target="media/image3.png"/><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www.dpi.state.nc.us/docs/councils/lea/previous/templates/sip-guide.pdf" TargetMode="External"/><Relationship Id="rId11" Type="http://schemas.openxmlformats.org/officeDocument/2006/relationships/hyperlink" Target="http://www.dpi.state.nc.us/docs/councils/lea/previous/templates/sip-guide.pdf" TargetMode="External"/><Relationship Id="rId12" Type="http://schemas.openxmlformats.org/officeDocument/2006/relationships/hyperlink" Target="http://www.dpi.state.nc.us/docs/councils/lea/previous/templates/sip-guide.pdf" TargetMode="External"/><Relationship Id="rId13" Type="http://schemas.openxmlformats.org/officeDocument/2006/relationships/hyperlink" Target="http://www.dpi.state.nc.us/docs/councils/lea/previous/templates/sip-guide.pdf" TargetMode="External"/><Relationship Id="rId14" Type="http://schemas.openxmlformats.org/officeDocument/2006/relationships/hyperlink" Target="http://www.dpi.state.nc.us/docs/councils/lea/previous/templates/sip-guide.pdf" TargetMode="External"/><Relationship Id="rId15" Type="http://schemas.openxmlformats.org/officeDocument/2006/relationships/hyperlink" Target="http://www.dpi.state.nc.us/docs/councils/lea/previous/templates/sip-guide.pdf" TargetMode="External"/><Relationship Id="rId16" Type="http://schemas.openxmlformats.org/officeDocument/2006/relationships/hyperlink" Target="http://www.dpi.state.nc.us/docs/councils/lea/previous/templates/sip-guide.pdf" TargetMode="External"/><Relationship Id="rId17" Type="http://schemas.openxmlformats.org/officeDocument/2006/relationships/hyperlink" Target="http://www.dpi.state.nc.us/docs/councils/lea/previous/templates/sip-guide.pdf" TargetMode="External"/><Relationship Id="rId18" Type="http://schemas.openxmlformats.org/officeDocument/2006/relationships/hyperlink" Target="http://www.dpi.state.nc.us/docs/councils/lea/previous/templates/sip-guide.pdf" TargetMode="External"/><Relationship Id="rId19" Type="http://schemas.openxmlformats.org/officeDocument/2006/relationships/hyperlink" Target="http://www.dpi.state.nc.us/docs/councils/lea/previous/templates/sip-guide.pdf"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dpi.state.nc.us/docs/councils/lea/previous/templates/sip-guide.pdf" TargetMode="External"/><Relationship Id="rId6" Type="http://schemas.openxmlformats.org/officeDocument/2006/relationships/hyperlink" Target="http://www.dpi.state.nc.us/docs/councils/lea/previous/templates/sip-guide.pdf" TargetMode="External"/><Relationship Id="rId7" Type="http://schemas.openxmlformats.org/officeDocument/2006/relationships/hyperlink" Target="http://www.dpi.state.nc.us/docs/councils/lea/previous/templates/sip-guide.pdf" TargetMode="External"/><Relationship Id="rId8" Type="http://schemas.openxmlformats.org/officeDocument/2006/relationships/hyperlink" Target="http://www.dpi.state.nc.us/docs/councils/lea/previous/templates/sip-guid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553</Words>
  <Characters>3156</Characters>
  <Application>Microsoft Macintosh Word</Application>
  <DocSecurity>0</DocSecurity>
  <Lines>26</Lines>
  <Paragraphs>6</Paragraphs>
  <ScaleCrop>false</ScaleCrop>
  <Company>NCSU CED</Company>
  <LinksUpToDate>false</LinksUpToDate>
  <CharactersWithSpaces>3875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NELA Fellow</dc:creator>
  <cp:keywords/>
  <cp:lastModifiedBy>NELA Fellow</cp:lastModifiedBy>
  <cp:revision>2</cp:revision>
  <dcterms:created xsi:type="dcterms:W3CDTF">2012-04-18T22:59:00Z</dcterms:created>
  <dcterms:modified xsi:type="dcterms:W3CDTF">2012-04-18T23:41:00Z</dcterms:modified>
</cp:coreProperties>
</file>